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9" w:type="pct"/>
        <w:tblCellMar>
          <w:left w:w="85" w:type="dxa"/>
          <w:right w:w="85" w:type="dxa"/>
        </w:tblCellMar>
        <w:tblLook w:val="0000" w:firstRow="0" w:lastRow="0" w:firstColumn="0" w:lastColumn="0" w:noHBand="0" w:noVBand="0"/>
      </w:tblPr>
      <w:tblGrid>
        <w:gridCol w:w="3828"/>
        <w:gridCol w:w="5242"/>
      </w:tblGrid>
      <w:tr w:rsidR="00935E75" w:rsidRPr="00767642" w:rsidTr="00AB75B0">
        <w:trPr>
          <w:trHeight w:val="990"/>
        </w:trPr>
        <w:tc>
          <w:tcPr>
            <w:tcW w:w="2110" w:type="pct"/>
          </w:tcPr>
          <w:p w:rsidR="00935E75" w:rsidRPr="00767642" w:rsidRDefault="00935E75" w:rsidP="00AB75B0">
            <w:pPr>
              <w:spacing w:before="60"/>
              <w:ind w:left="-116"/>
              <w:jc w:val="center"/>
              <w:rPr>
                <w:b/>
                <w:bCs/>
                <w:sz w:val="26"/>
                <w:szCs w:val="28"/>
              </w:rPr>
            </w:pPr>
            <w:r>
              <w:rPr>
                <w:noProof/>
                <w:sz w:val="28"/>
                <w:szCs w:val="28"/>
              </w:rPr>
              <mc:AlternateContent>
                <mc:Choice Requires="wps">
                  <w:drawing>
                    <wp:anchor distT="4294967295" distB="4294967295" distL="114300" distR="114300" simplePos="0" relativeHeight="251659264" behindDoc="0" locked="0" layoutInCell="1" allowOverlap="1" wp14:anchorId="51EC28C0" wp14:editId="6BE430E1">
                      <wp:simplePos x="0" y="0"/>
                      <wp:positionH relativeFrom="column">
                        <wp:posOffset>740410</wp:posOffset>
                      </wp:positionH>
                      <wp:positionV relativeFrom="paragraph">
                        <wp:posOffset>438785</wp:posOffset>
                      </wp:positionV>
                      <wp:extent cx="7632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B1CB6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34.55pt" to="118.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HpHAIAADU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"/>
                  </w:pict>
                </mc:Fallback>
              </mc:AlternateContent>
            </w:r>
            <w:r w:rsidRPr="00767642">
              <w:rPr>
                <w:szCs w:val="28"/>
                <w:lang w:val="es-ES"/>
              </w:rPr>
              <w:br w:type="page"/>
            </w:r>
            <w:r w:rsidRPr="00767642">
              <w:rPr>
                <w:b/>
                <w:bCs/>
                <w:szCs w:val="28"/>
              </w:rPr>
              <w:t>BỘ LAO ĐỘNG - THƯƠNG BINH VÀ XÃ HỘI</w:t>
            </w:r>
          </w:p>
        </w:tc>
        <w:tc>
          <w:tcPr>
            <w:tcW w:w="2890" w:type="pct"/>
          </w:tcPr>
          <w:p w:rsidR="00935E75" w:rsidRPr="00767642" w:rsidRDefault="00935E75" w:rsidP="00AB75B0">
            <w:pPr>
              <w:spacing w:before="60"/>
              <w:jc w:val="center"/>
              <w:rPr>
                <w:b/>
                <w:bCs/>
                <w:szCs w:val="28"/>
              </w:rPr>
            </w:pPr>
            <w:r w:rsidRPr="00767642">
              <w:rPr>
                <w:b/>
                <w:bCs/>
                <w:szCs w:val="28"/>
              </w:rPr>
              <w:t xml:space="preserve">CỘNG HOÀ XÃ HỘI CHỦ NGHĨA VIỆT </w:t>
            </w:r>
            <w:smartTag w:uri="urn:schemas-microsoft-com:office:smarttags" w:element="place">
              <w:smartTag w:uri="urn:schemas-microsoft-com:office:smarttags" w:element="country-region">
                <w:r w:rsidRPr="00767642">
                  <w:rPr>
                    <w:b/>
                    <w:bCs/>
                    <w:szCs w:val="28"/>
                  </w:rPr>
                  <w:t>NAM</w:t>
                </w:r>
              </w:smartTag>
            </w:smartTag>
          </w:p>
          <w:p w:rsidR="00935E75" w:rsidRPr="00F01830" w:rsidRDefault="00935E75" w:rsidP="00AB75B0">
            <w:pPr>
              <w:spacing w:before="60"/>
              <w:jc w:val="center"/>
              <w:rPr>
                <w:b/>
                <w:bCs/>
                <w:sz w:val="26"/>
                <w:szCs w:val="26"/>
              </w:rPr>
            </w:pPr>
            <w:r w:rsidRPr="00F01830">
              <w:rPr>
                <w:noProof/>
                <w:sz w:val="26"/>
                <w:szCs w:val="26"/>
              </w:rPr>
              <mc:AlternateContent>
                <mc:Choice Requires="wps">
                  <w:drawing>
                    <wp:anchor distT="4294967295" distB="4294967295" distL="114300" distR="114300" simplePos="0" relativeHeight="251660288" behindDoc="0" locked="0" layoutInCell="1" allowOverlap="1" wp14:anchorId="2C340D7E" wp14:editId="63F66806">
                      <wp:simplePos x="0" y="0"/>
                      <wp:positionH relativeFrom="column">
                        <wp:posOffset>607060</wp:posOffset>
                      </wp:positionH>
                      <wp:positionV relativeFrom="paragraph">
                        <wp:posOffset>276225</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C05771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1.75pt" to="206.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"/>
                  </w:pict>
                </mc:Fallback>
              </mc:AlternateContent>
            </w:r>
            <w:r w:rsidRPr="00F01830">
              <w:rPr>
                <w:b/>
                <w:bCs/>
                <w:sz w:val="26"/>
                <w:szCs w:val="26"/>
              </w:rPr>
              <w:t>Độc lập - Tự do - Hạnh phúc</w:t>
            </w:r>
          </w:p>
        </w:tc>
      </w:tr>
      <w:tr w:rsidR="00935E75" w:rsidRPr="00767642" w:rsidTr="00AB75B0">
        <w:trPr>
          <w:trHeight w:val="710"/>
        </w:trPr>
        <w:tc>
          <w:tcPr>
            <w:tcW w:w="2110" w:type="pct"/>
          </w:tcPr>
          <w:p w:rsidR="00935E75" w:rsidRPr="00767642" w:rsidRDefault="00935E75" w:rsidP="00AB75B0">
            <w:pPr>
              <w:spacing w:before="60"/>
              <w:ind w:left="-116"/>
              <w:jc w:val="center"/>
              <w:rPr>
                <w:bCs/>
                <w:sz w:val="26"/>
                <w:szCs w:val="28"/>
              </w:rPr>
            </w:pPr>
            <w:r w:rsidRPr="00767642">
              <w:rPr>
                <w:bCs/>
                <w:sz w:val="26"/>
                <w:szCs w:val="28"/>
              </w:rPr>
              <w:t xml:space="preserve">Số: </w:t>
            </w:r>
            <w:r>
              <w:rPr>
                <w:bCs/>
                <w:sz w:val="26"/>
                <w:szCs w:val="28"/>
              </w:rPr>
              <w:t xml:space="preserve">          </w:t>
            </w:r>
            <w:r w:rsidRPr="00767642">
              <w:rPr>
                <w:bCs/>
                <w:sz w:val="26"/>
                <w:szCs w:val="28"/>
              </w:rPr>
              <w:t>/</w:t>
            </w:r>
            <w:r w:rsidR="00C01F22">
              <w:rPr>
                <w:bCs/>
                <w:sz w:val="26"/>
                <w:szCs w:val="28"/>
              </w:rPr>
              <w:t>B</w:t>
            </w:r>
            <w:r w:rsidRPr="00767642">
              <w:rPr>
                <w:bCs/>
                <w:sz w:val="26"/>
                <w:szCs w:val="28"/>
              </w:rPr>
              <w:t>LĐTBXH-</w:t>
            </w:r>
            <w:r w:rsidR="00810B38">
              <w:rPr>
                <w:bCs/>
                <w:sz w:val="26"/>
                <w:szCs w:val="28"/>
              </w:rPr>
              <w:t>V</w:t>
            </w:r>
            <w:r w:rsidRPr="00767642">
              <w:rPr>
                <w:bCs/>
                <w:sz w:val="26"/>
                <w:szCs w:val="28"/>
              </w:rPr>
              <w:t>BHXH</w:t>
            </w:r>
          </w:p>
          <w:p w:rsidR="00935E75" w:rsidRPr="00935E75" w:rsidRDefault="00935E75" w:rsidP="00935E75">
            <w:pPr>
              <w:spacing w:before="60"/>
              <w:ind w:left="-116"/>
              <w:jc w:val="center"/>
              <w:rPr>
                <w:bCs/>
                <w:spacing w:val="-4"/>
              </w:rPr>
            </w:pPr>
            <w:r w:rsidRPr="002573A5">
              <w:rPr>
                <w:bCs/>
                <w:spacing w:val="-4"/>
              </w:rPr>
              <w:t xml:space="preserve">V/v </w:t>
            </w:r>
            <w:r>
              <w:rPr>
                <w:bCs/>
                <w:spacing w:val="-4"/>
              </w:rPr>
              <w:t>đề nghị thẩm định dự thảo Nghị định điều chỉnh lương hưu, trợ cấp BHXH và trợ cấp hằng tháng</w:t>
            </w:r>
          </w:p>
        </w:tc>
        <w:tc>
          <w:tcPr>
            <w:tcW w:w="2890" w:type="pct"/>
          </w:tcPr>
          <w:p w:rsidR="00935E75" w:rsidRPr="00F01830" w:rsidRDefault="00935E75" w:rsidP="00C01F22">
            <w:pPr>
              <w:spacing w:before="60"/>
              <w:jc w:val="center"/>
              <w:rPr>
                <w:b/>
                <w:bCs/>
                <w:sz w:val="28"/>
                <w:szCs w:val="28"/>
              </w:rPr>
            </w:pPr>
            <w:r w:rsidRPr="00F01830">
              <w:rPr>
                <w:i/>
                <w:iCs/>
                <w:sz w:val="28"/>
                <w:szCs w:val="28"/>
              </w:rPr>
              <w:t xml:space="preserve">Hà Nội, ngày    </w:t>
            </w:r>
            <w:r>
              <w:rPr>
                <w:i/>
                <w:iCs/>
                <w:sz w:val="28"/>
                <w:szCs w:val="28"/>
              </w:rPr>
              <w:t xml:space="preserve"> </w:t>
            </w:r>
            <w:r w:rsidRPr="00F01830">
              <w:rPr>
                <w:i/>
                <w:iCs/>
                <w:sz w:val="28"/>
                <w:szCs w:val="28"/>
              </w:rPr>
              <w:t xml:space="preserve">  tháng </w:t>
            </w:r>
            <w:r>
              <w:rPr>
                <w:i/>
                <w:iCs/>
                <w:sz w:val="28"/>
                <w:szCs w:val="28"/>
              </w:rPr>
              <w:t xml:space="preserve"> </w:t>
            </w:r>
            <w:r w:rsidRPr="00F01830">
              <w:rPr>
                <w:i/>
                <w:iCs/>
                <w:sz w:val="28"/>
                <w:szCs w:val="28"/>
              </w:rPr>
              <w:t xml:space="preserve"> </w:t>
            </w:r>
            <w:r>
              <w:rPr>
                <w:i/>
                <w:iCs/>
                <w:sz w:val="28"/>
                <w:szCs w:val="28"/>
              </w:rPr>
              <w:t xml:space="preserve"> </w:t>
            </w:r>
            <w:r w:rsidRPr="00F01830">
              <w:rPr>
                <w:i/>
                <w:iCs/>
                <w:sz w:val="28"/>
                <w:szCs w:val="28"/>
              </w:rPr>
              <w:t xml:space="preserve">  năm 20</w:t>
            </w:r>
            <w:r>
              <w:rPr>
                <w:i/>
                <w:iCs/>
                <w:sz w:val="28"/>
                <w:szCs w:val="28"/>
              </w:rPr>
              <w:t>2</w:t>
            </w:r>
            <w:r w:rsidR="00C01F22">
              <w:rPr>
                <w:i/>
                <w:iCs/>
                <w:sz w:val="28"/>
                <w:szCs w:val="28"/>
              </w:rPr>
              <w:t>4</w:t>
            </w:r>
          </w:p>
        </w:tc>
      </w:tr>
    </w:tbl>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35E75" w:rsidTr="0009710B">
        <w:tc>
          <w:tcPr>
            <w:tcW w:w="9356" w:type="dxa"/>
          </w:tcPr>
          <w:p w:rsidR="00935E75" w:rsidRDefault="00935E75" w:rsidP="00935E75">
            <w:pPr>
              <w:tabs>
                <w:tab w:val="left" w:pos="567"/>
              </w:tabs>
              <w:autoSpaceDE w:val="0"/>
              <w:autoSpaceDN w:val="0"/>
              <w:spacing w:before="240" w:after="120" w:line="288" w:lineRule="auto"/>
              <w:jc w:val="center"/>
              <w:rPr>
                <w:sz w:val="28"/>
                <w:szCs w:val="28"/>
              </w:rPr>
            </w:pPr>
            <w:r w:rsidRPr="00F01830">
              <w:rPr>
                <w:sz w:val="28"/>
                <w:szCs w:val="28"/>
              </w:rPr>
              <w:t>Kính gửi:</w:t>
            </w:r>
            <w:r>
              <w:rPr>
                <w:sz w:val="28"/>
                <w:szCs w:val="28"/>
              </w:rPr>
              <w:t xml:space="preserve"> Bộ Tư pháp</w:t>
            </w:r>
          </w:p>
        </w:tc>
      </w:tr>
    </w:tbl>
    <w:p w:rsidR="00935E75" w:rsidRDefault="00935E75" w:rsidP="00935E75">
      <w:pPr>
        <w:pStyle w:val="BodyTextIndent"/>
        <w:spacing w:after="120" w:line="360" w:lineRule="auto"/>
        <w:rPr>
          <w:rFonts w:ascii="Times New Roman" w:eastAsia="Calibri" w:hAnsi="Times New Roman"/>
        </w:rPr>
      </w:pPr>
      <w:r>
        <w:rPr>
          <w:rFonts w:ascii="Times New Roman" w:hAnsi="Times New Roman"/>
          <w:lang w:val="af-ZA"/>
        </w:rPr>
        <w:t>Thực hiện chương trình công tác năm 202</w:t>
      </w:r>
      <w:r w:rsidR="00C01F22">
        <w:rPr>
          <w:rFonts w:ascii="Times New Roman" w:hAnsi="Times New Roman"/>
          <w:lang w:val="af-ZA"/>
        </w:rPr>
        <w:t>4</w:t>
      </w:r>
      <w:r>
        <w:rPr>
          <w:rFonts w:ascii="Times New Roman" w:hAnsi="Times New Roman"/>
          <w:lang w:val="af-ZA"/>
        </w:rPr>
        <w:t xml:space="preserve"> của Chính phủ, Thủ tướng Chính phủ, Bộ Lao động - Thương binh và Xã hội được giao chủ trì, xây dựng Nghị định điều chỉnh lương hưu, trợ cấp bảo hiểm xã hội và trợ cấp hằng tháng. Căn cứ quy định tại </w:t>
      </w:r>
      <w:r w:rsidRPr="00935E75">
        <w:rPr>
          <w:rFonts w:ascii="Times New Roman" w:eastAsia="Calibri" w:hAnsi="Times New Roman"/>
        </w:rPr>
        <w:t>Điều 57, Điều 74 Luật Bảo hiểm xã hội về việc điều chỉnh lương hưu, Điều 49 Luật An toàn, vệ sinh lao động</w:t>
      </w:r>
      <w:r>
        <w:rPr>
          <w:rFonts w:ascii="Times New Roman" w:eastAsia="Calibri" w:hAnsi="Times New Roman"/>
        </w:rPr>
        <w:t xml:space="preserve"> về điều chỉnh trợ cấp ta</w:t>
      </w:r>
      <w:r w:rsidR="00F657D2">
        <w:rPr>
          <w:rFonts w:ascii="Times New Roman" w:eastAsia="Calibri" w:hAnsi="Times New Roman"/>
        </w:rPr>
        <w:t>i</w:t>
      </w:r>
      <w:r>
        <w:rPr>
          <w:rFonts w:ascii="Times New Roman" w:eastAsia="Calibri" w:hAnsi="Times New Roman"/>
        </w:rPr>
        <w:t xml:space="preserve"> nạn lao động, bệnh nghề nghiệp hằng tháng</w:t>
      </w:r>
      <w:r w:rsidRPr="00935E75">
        <w:rPr>
          <w:rFonts w:ascii="Times New Roman" w:eastAsia="Calibri" w:hAnsi="Times New Roman"/>
        </w:rPr>
        <w:t xml:space="preserve">, Nghị quyết số </w:t>
      </w:r>
      <w:r w:rsidR="00C01F22">
        <w:rPr>
          <w:rFonts w:ascii="Times New Roman" w:eastAsia="Calibri" w:hAnsi="Times New Roman"/>
        </w:rPr>
        <w:t>104</w:t>
      </w:r>
      <w:r w:rsidRPr="00935E75">
        <w:rPr>
          <w:rFonts w:ascii="Times New Roman" w:eastAsia="Calibri" w:hAnsi="Times New Roman"/>
        </w:rPr>
        <w:t>/202</w:t>
      </w:r>
      <w:r w:rsidR="00C01F22">
        <w:rPr>
          <w:rFonts w:ascii="Times New Roman" w:eastAsia="Calibri" w:hAnsi="Times New Roman"/>
        </w:rPr>
        <w:t>3</w:t>
      </w:r>
      <w:r w:rsidRPr="00935E75">
        <w:rPr>
          <w:rFonts w:ascii="Times New Roman" w:eastAsia="Calibri" w:hAnsi="Times New Roman"/>
        </w:rPr>
        <w:t>/QH15 ngày 1</w:t>
      </w:r>
      <w:r w:rsidR="00C01F22">
        <w:rPr>
          <w:rFonts w:ascii="Times New Roman" w:eastAsia="Calibri" w:hAnsi="Times New Roman"/>
        </w:rPr>
        <w:t>0</w:t>
      </w:r>
      <w:r w:rsidRPr="00935E75">
        <w:rPr>
          <w:rFonts w:ascii="Times New Roman" w:eastAsia="Calibri" w:hAnsi="Times New Roman"/>
        </w:rPr>
        <w:t xml:space="preserve"> tháng 11 năm 202</w:t>
      </w:r>
      <w:r w:rsidR="00C01F22">
        <w:rPr>
          <w:rFonts w:ascii="Times New Roman" w:eastAsia="Calibri" w:hAnsi="Times New Roman"/>
        </w:rPr>
        <w:t>3</w:t>
      </w:r>
      <w:r w:rsidRPr="00935E75">
        <w:rPr>
          <w:rFonts w:ascii="Times New Roman" w:eastAsia="Calibri" w:hAnsi="Times New Roman"/>
        </w:rPr>
        <w:t xml:space="preserve"> của Quốc hội về dự toán ngân sách nhà nước năm 202</w:t>
      </w:r>
      <w:r w:rsidR="00956F00">
        <w:rPr>
          <w:rFonts w:ascii="Times New Roman" w:eastAsia="Calibri" w:hAnsi="Times New Roman"/>
        </w:rPr>
        <w:t>4</w:t>
      </w:r>
      <w:r>
        <w:rPr>
          <w:rFonts w:ascii="Times New Roman" w:eastAsia="Calibri" w:hAnsi="Times New Roman"/>
        </w:rPr>
        <w:t>, Bộ Lao động - Thương binh và Xã hội đã xây dựng và hoàn thiện hồ sơ trình Nghị định điều chỉnh lương hưu, trợ cấp bảo hiểm xã hội và trợ cấp hằng tháng.</w:t>
      </w:r>
    </w:p>
    <w:p w:rsidR="00935E75" w:rsidRDefault="00935E75" w:rsidP="00935E75">
      <w:pPr>
        <w:pStyle w:val="BodyTextIndent"/>
        <w:spacing w:after="120" w:line="360" w:lineRule="auto"/>
        <w:rPr>
          <w:rFonts w:ascii="Times New Roman" w:hAnsi="Times New Roman"/>
          <w:lang w:val="af-ZA"/>
        </w:rPr>
      </w:pPr>
      <w:r>
        <w:rPr>
          <w:rFonts w:ascii="Times New Roman" w:eastAsia="Calibri" w:hAnsi="Times New Roman"/>
        </w:rPr>
        <w:t>Theo quy định của Luật Ban hành văn bản quy phạm pháp luật,</w:t>
      </w:r>
      <w:r w:rsidR="00C01F22">
        <w:rPr>
          <w:rFonts w:ascii="Times New Roman" w:eastAsia="Calibri" w:hAnsi="Times New Roman"/>
        </w:rPr>
        <w:t xml:space="preserve"> căn cứ ý kiến chỉ đạo của Phó Thủ tướng Lê Minh Khái tại Công văn số 4329/VPCP-KTTH ngày 21 tháng 6 năm 2024 của Văn phòng Chính phủ về việc</w:t>
      </w:r>
      <w:r w:rsidR="007F6FBF">
        <w:rPr>
          <w:rFonts w:ascii="Times New Roman" w:eastAsia="Calibri" w:hAnsi="Times New Roman"/>
        </w:rPr>
        <w:t xml:space="preserve"> đ</w:t>
      </w:r>
      <w:r w:rsidR="00810B38">
        <w:rPr>
          <w:rFonts w:ascii="Times New Roman" w:eastAsia="Calibri" w:hAnsi="Times New Roman"/>
        </w:rPr>
        <w:t>ồ</w:t>
      </w:r>
      <w:r w:rsidR="007F6FBF">
        <w:rPr>
          <w:rFonts w:ascii="Times New Roman" w:eastAsia="Calibri" w:hAnsi="Times New Roman"/>
        </w:rPr>
        <w:t>ng ý</w:t>
      </w:r>
      <w:r w:rsidR="00C01F22">
        <w:rPr>
          <w:rFonts w:ascii="Times New Roman" w:eastAsia="Calibri" w:hAnsi="Times New Roman"/>
        </w:rPr>
        <w:t xml:space="preserve"> áp dụng trình tự, thủ tục rút gọn trong xây dựng và ban hành Nghị định, </w:t>
      </w:r>
      <w:r>
        <w:rPr>
          <w:rFonts w:ascii="Times New Roman" w:eastAsia="Calibri" w:hAnsi="Times New Roman"/>
        </w:rPr>
        <w:t>Bộ Lao động - Thương binh và Xã hội đề nghị Bộ Tư pháp thẩm định đối với dự thảo Nghị định nêu trên.</w:t>
      </w:r>
      <w:r>
        <w:rPr>
          <w:rFonts w:ascii="Times New Roman" w:hAnsi="Times New Roman"/>
          <w:spacing w:val="2"/>
          <w:lang w:val="af-ZA"/>
        </w:rPr>
        <w:t xml:space="preserve"> </w:t>
      </w:r>
      <w:r w:rsidRPr="00C01F22">
        <w:rPr>
          <w:rFonts w:ascii="Times New Roman" w:hAnsi="Times New Roman"/>
          <w:i/>
          <w:spacing w:val="2"/>
          <w:lang w:val="af-ZA"/>
        </w:rPr>
        <w:t xml:space="preserve">(Gửi kèm </w:t>
      </w:r>
      <w:r w:rsidR="00C01F22">
        <w:rPr>
          <w:rFonts w:ascii="Times New Roman" w:hAnsi="Times New Roman"/>
          <w:i/>
          <w:spacing w:val="2"/>
          <w:lang w:val="af-ZA"/>
        </w:rPr>
        <w:t>Hồ sơ dự thảo Nghị định</w:t>
      </w:r>
      <w:r w:rsidRPr="00C01F22">
        <w:rPr>
          <w:rFonts w:ascii="Times New Roman" w:hAnsi="Times New Roman"/>
          <w:i/>
          <w:spacing w:val="2"/>
          <w:lang w:val="af-ZA"/>
        </w:rPr>
        <w:t>).</w:t>
      </w:r>
    </w:p>
    <w:p w:rsidR="00935E75" w:rsidRPr="00902673" w:rsidRDefault="00935E75" w:rsidP="00935E75">
      <w:pPr>
        <w:pStyle w:val="BodyTextIndent"/>
        <w:spacing w:after="120" w:line="360" w:lineRule="auto"/>
        <w:rPr>
          <w:rFonts w:ascii="Times New Roman" w:hAnsi="Times New Roman"/>
          <w:lang w:val="af-ZA"/>
        </w:rPr>
      </w:pPr>
      <w:r>
        <w:rPr>
          <w:rFonts w:ascii="Times New Roman" w:hAnsi="Times New Roman"/>
          <w:lang w:val="af-ZA"/>
        </w:rPr>
        <w:t>Trân trọng cảm ơn sự phối hợp của quý Cơ quan./.</w:t>
      </w:r>
    </w:p>
    <w:tbl>
      <w:tblPr>
        <w:tblW w:w="5226" w:type="pct"/>
        <w:tblInd w:w="-1" w:type="dxa"/>
        <w:tblLook w:val="0000" w:firstRow="0" w:lastRow="0" w:firstColumn="0" w:lastColumn="0" w:noHBand="0" w:noVBand="0"/>
      </w:tblPr>
      <w:tblGrid>
        <w:gridCol w:w="4392"/>
        <w:gridCol w:w="5090"/>
      </w:tblGrid>
      <w:tr w:rsidR="00935E75" w:rsidRPr="00767642" w:rsidTr="00AB75B0">
        <w:trPr>
          <w:trHeight w:val="2321"/>
        </w:trPr>
        <w:tc>
          <w:tcPr>
            <w:tcW w:w="2316" w:type="pct"/>
          </w:tcPr>
          <w:p w:rsidR="00935E75" w:rsidRPr="00767642" w:rsidRDefault="00935E75" w:rsidP="00AB75B0">
            <w:pPr>
              <w:spacing w:before="120" w:after="60"/>
              <w:jc w:val="both"/>
              <w:rPr>
                <w:b/>
                <w:i/>
                <w:szCs w:val="28"/>
              </w:rPr>
            </w:pPr>
            <w:r>
              <w:rPr>
                <w:b/>
                <w:i/>
                <w:szCs w:val="28"/>
              </w:rPr>
              <w:t>N</w:t>
            </w:r>
            <w:r w:rsidRPr="00767642">
              <w:rPr>
                <w:b/>
                <w:i/>
                <w:szCs w:val="28"/>
              </w:rPr>
              <w:t>ơi nhận:</w:t>
            </w:r>
          </w:p>
          <w:p w:rsidR="00935E75" w:rsidRDefault="00935E75" w:rsidP="00AB75B0">
            <w:pPr>
              <w:jc w:val="both"/>
              <w:rPr>
                <w:sz w:val="22"/>
                <w:szCs w:val="22"/>
              </w:rPr>
            </w:pPr>
            <w:r w:rsidRPr="00A70CBE">
              <w:rPr>
                <w:sz w:val="22"/>
                <w:szCs w:val="22"/>
              </w:rPr>
              <w:t>- Như trên;</w:t>
            </w:r>
          </w:p>
          <w:p w:rsidR="00935E75" w:rsidRDefault="00935E75" w:rsidP="00AB75B0">
            <w:pPr>
              <w:jc w:val="both"/>
              <w:rPr>
                <w:sz w:val="22"/>
                <w:szCs w:val="22"/>
              </w:rPr>
            </w:pPr>
            <w:r>
              <w:rPr>
                <w:sz w:val="22"/>
                <w:szCs w:val="22"/>
              </w:rPr>
              <w:t>- Bộ trưởng (để báo cáo);</w:t>
            </w:r>
          </w:p>
          <w:p w:rsidR="00C01F22" w:rsidRDefault="00C01F22" w:rsidP="00AB75B0">
            <w:pPr>
              <w:jc w:val="both"/>
              <w:rPr>
                <w:sz w:val="22"/>
                <w:szCs w:val="22"/>
              </w:rPr>
            </w:pPr>
            <w:r>
              <w:rPr>
                <w:sz w:val="22"/>
                <w:szCs w:val="22"/>
              </w:rPr>
              <w:t>- Thứ trưởng Nguyễn Bá Hoan</w:t>
            </w:r>
            <w:bookmarkStart w:id="0" w:name="_GoBack"/>
            <w:bookmarkEnd w:id="0"/>
            <w:r>
              <w:rPr>
                <w:sz w:val="22"/>
                <w:szCs w:val="22"/>
              </w:rPr>
              <w:t>;</w:t>
            </w:r>
          </w:p>
          <w:p w:rsidR="00935E75" w:rsidRDefault="00935E75" w:rsidP="00AB75B0">
            <w:pPr>
              <w:jc w:val="both"/>
              <w:rPr>
                <w:sz w:val="22"/>
                <w:szCs w:val="22"/>
              </w:rPr>
            </w:pPr>
            <w:r>
              <w:rPr>
                <w:sz w:val="22"/>
                <w:szCs w:val="22"/>
              </w:rPr>
              <w:t>- Văn phòng Chính phủ (để theo dõi);</w:t>
            </w:r>
          </w:p>
          <w:p w:rsidR="00935E75" w:rsidRPr="007B1692" w:rsidRDefault="00935E75" w:rsidP="00AB75B0">
            <w:pPr>
              <w:jc w:val="both"/>
              <w:rPr>
                <w:szCs w:val="28"/>
              </w:rPr>
            </w:pPr>
            <w:r w:rsidRPr="00A70CBE">
              <w:rPr>
                <w:sz w:val="22"/>
                <w:szCs w:val="22"/>
              </w:rPr>
              <w:t>- Lưu: VT, BHXH</w:t>
            </w:r>
            <w:r>
              <w:rPr>
                <w:sz w:val="22"/>
                <w:szCs w:val="22"/>
              </w:rPr>
              <w:t xml:space="preserve"> </w:t>
            </w:r>
            <w:r w:rsidR="00C01F22">
              <w:rPr>
                <w:sz w:val="22"/>
                <w:szCs w:val="22"/>
                <w:vertAlign w:val="subscript"/>
              </w:rPr>
              <w:t>(NTH</w:t>
            </w:r>
            <w:r w:rsidRPr="007B1692">
              <w:rPr>
                <w:sz w:val="22"/>
                <w:szCs w:val="22"/>
                <w:vertAlign w:val="subscript"/>
              </w:rPr>
              <w:t>)</w:t>
            </w:r>
            <w:r>
              <w:rPr>
                <w:sz w:val="22"/>
                <w:szCs w:val="22"/>
              </w:rPr>
              <w:t>.</w:t>
            </w:r>
          </w:p>
        </w:tc>
        <w:tc>
          <w:tcPr>
            <w:tcW w:w="2684" w:type="pct"/>
          </w:tcPr>
          <w:p w:rsidR="00935E75" w:rsidRDefault="00935E75" w:rsidP="00AB75B0">
            <w:pPr>
              <w:jc w:val="center"/>
              <w:rPr>
                <w:b/>
                <w:sz w:val="26"/>
                <w:szCs w:val="26"/>
              </w:rPr>
            </w:pPr>
            <w:r>
              <w:rPr>
                <w:b/>
                <w:sz w:val="26"/>
                <w:szCs w:val="26"/>
              </w:rPr>
              <w:t>KT</w:t>
            </w:r>
            <w:r w:rsidRPr="00A70CBE">
              <w:rPr>
                <w:b/>
                <w:sz w:val="26"/>
                <w:szCs w:val="26"/>
              </w:rPr>
              <w:t xml:space="preserve">. BỘ TRƯỞNG </w:t>
            </w:r>
          </w:p>
          <w:p w:rsidR="00935E75" w:rsidRPr="00543A32" w:rsidRDefault="00935E75" w:rsidP="00AB75B0">
            <w:pPr>
              <w:jc w:val="center"/>
              <w:rPr>
                <w:b/>
                <w:sz w:val="26"/>
                <w:szCs w:val="26"/>
              </w:rPr>
            </w:pPr>
            <w:r>
              <w:rPr>
                <w:b/>
                <w:sz w:val="26"/>
                <w:szCs w:val="26"/>
              </w:rPr>
              <w:t>THỨ TRƯỞNG</w:t>
            </w:r>
          </w:p>
          <w:p w:rsidR="00935E75" w:rsidRDefault="00935E75" w:rsidP="00AB75B0">
            <w:pPr>
              <w:rPr>
                <w:szCs w:val="28"/>
              </w:rPr>
            </w:pPr>
          </w:p>
          <w:p w:rsidR="00935E75" w:rsidRDefault="00935E75" w:rsidP="00AB75B0">
            <w:pPr>
              <w:rPr>
                <w:sz w:val="32"/>
                <w:szCs w:val="28"/>
              </w:rPr>
            </w:pPr>
          </w:p>
          <w:p w:rsidR="00935E75" w:rsidRDefault="00935E75" w:rsidP="00AB75B0">
            <w:pPr>
              <w:rPr>
                <w:sz w:val="32"/>
                <w:szCs w:val="28"/>
              </w:rPr>
            </w:pPr>
          </w:p>
          <w:p w:rsidR="00935E75" w:rsidRPr="007455C9" w:rsidRDefault="00935E75" w:rsidP="00AB75B0">
            <w:pPr>
              <w:rPr>
                <w:sz w:val="32"/>
                <w:szCs w:val="28"/>
              </w:rPr>
            </w:pPr>
          </w:p>
          <w:p w:rsidR="00935E75" w:rsidRPr="008C175A" w:rsidRDefault="00935E75" w:rsidP="00AB75B0">
            <w:pPr>
              <w:jc w:val="center"/>
              <w:rPr>
                <w:sz w:val="36"/>
                <w:szCs w:val="28"/>
              </w:rPr>
            </w:pPr>
          </w:p>
          <w:p w:rsidR="00935E75" w:rsidRPr="0047119F" w:rsidRDefault="00C01F22" w:rsidP="00AB75B0">
            <w:pPr>
              <w:jc w:val="center"/>
              <w:rPr>
                <w:b/>
                <w:sz w:val="28"/>
                <w:szCs w:val="28"/>
              </w:rPr>
            </w:pPr>
            <w:r>
              <w:rPr>
                <w:b/>
                <w:sz w:val="28"/>
                <w:szCs w:val="28"/>
              </w:rPr>
              <w:t>Lê Văn Thanh</w:t>
            </w:r>
          </w:p>
        </w:tc>
      </w:tr>
    </w:tbl>
    <w:p w:rsidR="00935E75" w:rsidRDefault="00935E75" w:rsidP="00935E75">
      <w:pPr>
        <w:tabs>
          <w:tab w:val="left" w:pos="1155"/>
          <w:tab w:val="left" w:pos="3060"/>
        </w:tabs>
        <w:spacing w:after="160" w:line="259" w:lineRule="auto"/>
      </w:pPr>
    </w:p>
    <w:sectPr w:rsidR="00935E75" w:rsidSect="00D41A7A">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C5" w:rsidRDefault="004B27C5" w:rsidP="00935E75">
      <w:r>
        <w:separator/>
      </w:r>
    </w:p>
  </w:endnote>
  <w:endnote w:type="continuationSeparator" w:id="0">
    <w:p w:rsidR="004B27C5" w:rsidRDefault="004B27C5" w:rsidP="0093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C5" w:rsidRDefault="004B27C5" w:rsidP="00935E75">
      <w:r>
        <w:separator/>
      </w:r>
    </w:p>
  </w:footnote>
  <w:footnote w:type="continuationSeparator" w:id="0">
    <w:p w:rsidR="004B27C5" w:rsidRDefault="004B27C5" w:rsidP="00935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EC"/>
    <w:rsid w:val="002F3E52"/>
    <w:rsid w:val="00427A3D"/>
    <w:rsid w:val="00470DEC"/>
    <w:rsid w:val="004B27C5"/>
    <w:rsid w:val="004F5CA6"/>
    <w:rsid w:val="005D7EED"/>
    <w:rsid w:val="007F6FBF"/>
    <w:rsid w:val="00810B38"/>
    <w:rsid w:val="00935E75"/>
    <w:rsid w:val="00956F00"/>
    <w:rsid w:val="00C01F22"/>
    <w:rsid w:val="00CE6EE7"/>
    <w:rsid w:val="00D41A7A"/>
    <w:rsid w:val="00F013AD"/>
    <w:rsid w:val="00F6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82225E9-E5DB-45F3-83DA-22EE5692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5E75"/>
    <w:pPr>
      <w:spacing w:before="120" w:line="288" w:lineRule="auto"/>
      <w:ind w:firstLine="720"/>
      <w:jc w:val="both"/>
    </w:pPr>
    <w:rPr>
      <w:rFonts w:ascii=".VnTime" w:hAnsi=".VnTime"/>
      <w:sz w:val="28"/>
      <w:szCs w:val="20"/>
    </w:rPr>
  </w:style>
  <w:style w:type="character" w:customStyle="1" w:styleId="BodyTextIndentChar">
    <w:name w:val="Body Text Indent Char"/>
    <w:basedOn w:val="DefaultParagraphFont"/>
    <w:link w:val="BodyTextIndent"/>
    <w:rsid w:val="00935E75"/>
    <w:rPr>
      <w:rFonts w:ascii=".VnTime" w:eastAsia="Times New Roman" w:hAnsi=".VnTime" w:cs="Times New Roman"/>
      <w:sz w:val="28"/>
      <w:szCs w:val="20"/>
    </w:rPr>
  </w:style>
  <w:style w:type="table" w:styleId="TableGrid">
    <w:name w:val="Table Grid"/>
    <w:basedOn w:val="TableNormal"/>
    <w:uiPriority w:val="39"/>
    <w:rsid w:val="0093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E75"/>
    <w:rPr>
      <w:color w:val="0563C1" w:themeColor="hyperlink"/>
      <w:u w:val="single"/>
    </w:rPr>
  </w:style>
  <w:style w:type="paragraph" w:styleId="Header">
    <w:name w:val="header"/>
    <w:basedOn w:val="Normal"/>
    <w:link w:val="HeaderChar"/>
    <w:uiPriority w:val="99"/>
    <w:unhideWhenUsed/>
    <w:rsid w:val="00935E75"/>
    <w:pPr>
      <w:tabs>
        <w:tab w:val="center" w:pos="4680"/>
        <w:tab w:val="right" w:pos="9360"/>
      </w:tabs>
    </w:pPr>
  </w:style>
  <w:style w:type="character" w:customStyle="1" w:styleId="HeaderChar">
    <w:name w:val="Header Char"/>
    <w:basedOn w:val="DefaultParagraphFont"/>
    <w:link w:val="Header"/>
    <w:uiPriority w:val="99"/>
    <w:rsid w:val="00935E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5E75"/>
    <w:pPr>
      <w:tabs>
        <w:tab w:val="center" w:pos="4680"/>
        <w:tab w:val="right" w:pos="9360"/>
      </w:tabs>
    </w:pPr>
  </w:style>
  <w:style w:type="character" w:customStyle="1" w:styleId="FooterChar">
    <w:name w:val="Footer Char"/>
    <w:basedOn w:val="DefaultParagraphFont"/>
    <w:link w:val="Footer"/>
    <w:uiPriority w:val="99"/>
    <w:rsid w:val="00935E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614E6-5B69-400B-81DE-A4F50D0A2ABF}"/>
</file>

<file path=customXml/itemProps2.xml><?xml version="1.0" encoding="utf-8"?>
<ds:datastoreItem xmlns:ds="http://schemas.openxmlformats.org/officeDocument/2006/customXml" ds:itemID="{026C7DBA-9A19-46A2-B09C-5EF89C4ECD0F}"/>
</file>

<file path=customXml/itemProps3.xml><?xml version="1.0" encoding="utf-8"?>
<ds:datastoreItem xmlns:ds="http://schemas.openxmlformats.org/officeDocument/2006/customXml" ds:itemID="{0EBE20D0-2D93-4335-9F37-434BE8F86AD4}"/>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GiangPT</cp:lastModifiedBy>
  <cp:revision>2</cp:revision>
  <dcterms:created xsi:type="dcterms:W3CDTF">2024-06-21T08:14:00Z</dcterms:created>
  <dcterms:modified xsi:type="dcterms:W3CDTF">2024-06-21T08:14:00Z</dcterms:modified>
</cp:coreProperties>
</file>